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r w:rsidR="00007F6B">
        <w:rPr>
          <w:b/>
          <w:i/>
          <w:sz w:val="36"/>
          <w:szCs w:val="36"/>
        </w:rPr>
        <w:t>Козловского</w:t>
      </w:r>
      <w:r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007F6B">
        <w:rPr>
          <w:rFonts w:ascii="Times New Roman" w:hAnsi="Times New Roman"/>
          <w:sz w:val="26"/>
          <w:szCs w:val="26"/>
        </w:rPr>
        <w:t>29.11.2023 г.</w:t>
      </w:r>
      <w:r>
        <w:rPr>
          <w:rFonts w:ascii="Times New Roman" w:hAnsi="Times New Roman"/>
          <w:sz w:val="26"/>
          <w:szCs w:val="26"/>
        </w:rPr>
        <w:t xml:space="preserve"> № </w:t>
      </w:r>
      <w:r w:rsidR="00007F6B">
        <w:rPr>
          <w:rFonts w:ascii="Times New Roman" w:hAnsi="Times New Roman"/>
          <w:sz w:val="26"/>
          <w:szCs w:val="26"/>
        </w:rPr>
        <w:t>84</w:t>
      </w:r>
    </w:p>
    <w:p w:rsidR="00BA3818" w:rsidRDefault="00BA3818" w:rsidP="00A33722">
      <w:pPr>
        <w:pStyle w:val="13"/>
        <w:jc w:val="both"/>
        <w:rPr>
          <w:rFonts w:ascii="Times New Roman" w:hAnsi="Times New Roman"/>
          <w:sz w:val="24"/>
          <w:szCs w:val="24"/>
        </w:rPr>
      </w:pPr>
      <w:r>
        <w:rPr>
          <w:rFonts w:ascii="Times New Roman" w:hAnsi="Times New Roman"/>
          <w:sz w:val="24"/>
          <w:szCs w:val="24"/>
        </w:rPr>
        <w:t>с.</w:t>
      </w:r>
      <w:r w:rsidR="00007F6B">
        <w:rPr>
          <w:rFonts w:ascii="Times New Roman" w:hAnsi="Times New Roman"/>
          <w:sz w:val="24"/>
          <w:szCs w:val="24"/>
        </w:rPr>
        <w:t>Козловка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EC1C87">
        <w:rPr>
          <w:rFonts w:ascii="Times New Roman" w:hAnsi="Times New Roman" w:cs="Times New Roman"/>
          <w:sz w:val="28"/>
          <w:szCs w:val="28"/>
        </w:rPr>
        <w:t>Козловского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007F6B">
        <w:rPr>
          <w:rFonts w:ascii="Times New Roman" w:hAnsi="Times New Roman"/>
          <w:sz w:val="28"/>
          <w:szCs w:val="28"/>
        </w:rPr>
        <w:t xml:space="preserve">Козловского </w:t>
      </w:r>
      <w:r w:rsidR="00BA3818" w:rsidRPr="00854EF6">
        <w:rPr>
          <w:rFonts w:ascii="Times New Roman" w:hAnsi="Times New Roman"/>
          <w:sz w:val="28"/>
          <w:szCs w:val="28"/>
        </w:rPr>
        <w:t>сельского</w:t>
      </w:r>
      <w:r w:rsidR="00007F6B">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007F6B">
        <w:rPr>
          <w:rFonts w:ascii="Times New Roman" w:hAnsi="Times New Roman"/>
          <w:sz w:val="28"/>
          <w:szCs w:val="28"/>
        </w:rPr>
        <w:t>Козловского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4F2753">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007F6B">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007F6B">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4F2753" w:rsidRDefault="00591BF2" w:rsidP="00A33722">
      <w:pPr>
        <w:ind w:firstLine="709"/>
        <w:jc w:val="both"/>
        <w:rPr>
          <w:rFonts w:ascii="Times New Roman" w:hAnsi="Times New Roman" w:cs="Times New Roman"/>
          <w:sz w:val="28"/>
          <w:szCs w:val="28"/>
        </w:rPr>
      </w:pPr>
      <w:r w:rsidRPr="004F2753">
        <w:rPr>
          <w:rFonts w:ascii="Times New Roman" w:hAnsi="Times New Roman" w:cs="Times New Roman"/>
          <w:sz w:val="28"/>
          <w:szCs w:val="28"/>
        </w:rPr>
        <w:t xml:space="preserve">- от </w:t>
      </w:r>
      <w:r w:rsidR="00194574" w:rsidRPr="004F2753">
        <w:rPr>
          <w:rFonts w:ascii="Times New Roman" w:hAnsi="Times New Roman" w:cs="Times New Roman"/>
          <w:sz w:val="28"/>
          <w:szCs w:val="28"/>
        </w:rPr>
        <w:t>14.</w:t>
      </w:r>
      <w:r w:rsidR="00DE1F2A" w:rsidRPr="004F2753">
        <w:rPr>
          <w:rFonts w:ascii="Times New Roman" w:hAnsi="Times New Roman" w:cs="Times New Roman"/>
          <w:sz w:val="28"/>
          <w:szCs w:val="28"/>
        </w:rPr>
        <w:t>12.</w:t>
      </w:r>
      <w:r w:rsidRPr="004F2753">
        <w:rPr>
          <w:rFonts w:ascii="Times New Roman" w:hAnsi="Times New Roman" w:cs="Times New Roman"/>
          <w:sz w:val="28"/>
          <w:szCs w:val="28"/>
        </w:rPr>
        <w:t>2015г. №</w:t>
      </w:r>
      <w:r w:rsidR="00194574" w:rsidRPr="004F2753">
        <w:rPr>
          <w:rFonts w:ascii="Times New Roman" w:hAnsi="Times New Roman" w:cs="Times New Roman"/>
          <w:sz w:val="28"/>
          <w:szCs w:val="28"/>
        </w:rPr>
        <w:t xml:space="preserve"> 137</w:t>
      </w:r>
      <w:r w:rsidRPr="004F2753">
        <w:rPr>
          <w:rFonts w:ascii="Times New Roman" w:hAnsi="Times New Roman" w:cs="Times New Roman"/>
          <w:sz w:val="28"/>
          <w:szCs w:val="28"/>
        </w:rPr>
        <w:t xml:space="preserve"> «Об утверждении административного регламента </w:t>
      </w:r>
      <w:r w:rsidRPr="004F2753">
        <w:rPr>
          <w:rFonts w:ascii="Times New Roman" w:hAnsi="Times New Roman" w:cs="Times New Roman"/>
          <w:sz w:val="28"/>
          <w:szCs w:val="28"/>
        </w:rPr>
        <w:lastRenderedPageBreak/>
        <w:t xml:space="preserve">администрации </w:t>
      </w:r>
      <w:r w:rsidR="004F2753" w:rsidRPr="004F2753">
        <w:rPr>
          <w:rFonts w:ascii="Times New Roman" w:hAnsi="Times New Roman" w:cs="Times New Roman"/>
          <w:sz w:val="28"/>
          <w:szCs w:val="28"/>
        </w:rPr>
        <w:t>Козловского</w:t>
      </w:r>
      <w:r w:rsidRPr="004F2753">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4F2753">
        <w:rPr>
          <w:rFonts w:ascii="Times New Roman" w:hAnsi="Times New Roman" w:cs="Times New Roman"/>
          <w:sz w:val="28"/>
          <w:szCs w:val="28"/>
        </w:rPr>
        <w:t>Предоставление сведений из реестра муниципального имущества</w:t>
      </w:r>
      <w:r w:rsidRPr="004F2753">
        <w:rPr>
          <w:rFonts w:ascii="Times New Roman" w:hAnsi="Times New Roman" w:cs="Times New Roman"/>
          <w:sz w:val="28"/>
          <w:szCs w:val="28"/>
        </w:rPr>
        <w:t>»;</w:t>
      </w:r>
    </w:p>
    <w:p w:rsidR="00194574" w:rsidRPr="004F2753" w:rsidRDefault="004F2753" w:rsidP="00A33722">
      <w:pPr>
        <w:ind w:firstLine="709"/>
        <w:jc w:val="both"/>
        <w:rPr>
          <w:rFonts w:ascii="Times New Roman" w:hAnsi="Times New Roman" w:cs="Times New Roman"/>
          <w:sz w:val="28"/>
          <w:szCs w:val="28"/>
        </w:rPr>
      </w:pPr>
      <w:r w:rsidRPr="004F2753">
        <w:rPr>
          <w:rFonts w:ascii="Times New Roman" w:hAnsi="Times New Roman" w:cs="Times New Roman"/>
          <w:sz w:val="28"/>
          <w:szCs w:val="28"/>
        </w:rPr>
        <w:t>- от 10.03.2016г. № 49" О внесении изменений в постановление администрации Козловского сельского поселения Бутурлиновского муниципального района Воронежской области от 14.12.2015 г. № 137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4F2753" w:rsidRPr="004F2753" w:rsidRDefault="004F2753" w:rsidP="00A33722">
      <w:pPr>
        <w:ind w:firstLine="709"/>
        <w:jc w:val="both"/>
        <w:rPr>
          <w:rFonts w:ascii="Times New Roman" w:hAnsi="Times New Roman" w:cs="Times New Roman"/>
          <w:sz w:val="28"/>
          <w:szCs w:val="28"/>
        </w:rPr>
      </w:pPr>
      <w:r w:rsidRPr="004F2753">
        <w:rPr>
          <w:rFonts w:ascii="Times New Roman" w:hAnsi="Times New Roman" w:cs="Times New Roman"/>
          <w:sz w:val="28"/>
          <w:szCs w:val="28"/>
        </w:rPr>
        <w:t>- от 13.09.2021 г. № 38 " О внесении изменений в постановление администрации Козловского сельского поселения Бутурлиновского муниципального района Воронежской области от 14.12.2015 г. № 137 «</w:t>
      </w:r>
      <w:r w:rsidRPr="004F2753">
        <w:rPr>
          <w:rFonts w:ascii="Times New Roman" w:hAnsi="Times New Roman" w:cs="Times New Roman"/>
          <w:bCs/>
          <w:sz w:val="28"/>
          <w:szCs w:val="28"/>
          <w:lang w:eastAsia="ar-SA"/>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4F2753">
        <w:rPr>
          <w:rFonts w:ascii="Times New Roman" w:hAnsi="Times New Roman" w:cs="Times New Roman"/>
          <w:sz w:val="28"/>
          <w:szCs w:val="28"/>
        </w:rPr>
        <w:t>";</w:t>
      </w:r>
    </w:p>
    <w:p w:rsidR="00194574" w:rsidRPr="004F2753" w:rsidRDefault="004F2753" w:rsidP="00A33722">
      <w:pPr>
        <w:ind w:firstLine="709"/>
        <w:jc w:val="both"/>
        <w:rPr>
          <w:rFonts w:ascii="Times New Roman" w:hAnsi="Times New Roman" w:cs="Times New Roman"/>
          <w:sz w:val="28"/>
          <w:szCs w:val="28"/>
        </w:rPr>
      </w:pPr>
      <w:r w:rsidRPr="004F2753">
        <w:rPr>
          <w:rFonts w:ascii="Times New Roman" w:hAnsi="Times New Roman" w:cs="Times New Roman"/>
          <w:sz w:val="28"/>
          <w:szCs w:val="28"/>
        </w:rPr>
        <w:t>- от 13.04.2023 г. № 26" О внесении изменений в постановление администрации Козловского сельского поселения Бутурлиновского муниципального района Воронежской области от 14.12.2015г. № 137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Default="00BA3818" w:rsidP="00A33722">
      <w:pPr>
        <w:ind w:firstLine="709"/>
        <w:jc w:val="both"/>
        <w:rPr>
          <w:rFonts w:ascii="Times New Roman" w:hAnsi="Times New Roman"/>
          <w:sz w:val="28"/>
          <w:szCs w:val="28"/>
        </w:rPr>
      </w:pPr>
    </w:p>
    <w:p w:rsidR="00007F6B" w:rsidRDefault="00007F6B" w:rsidP="00A33722">
      <w:pPr>
        <w:ind w:firstLine="709"/>
        <w:jc w:val="both"/>
        <w:rPr>
          <w:rFonts w:ascii="Times New Roman" w:hAnsi="Times New Roman"/>
          <w:sz w:val="28"/>
          <w:szCs w:val="28"/>
        </w:rPr>
      </w:pPr>
    </w:p>
    <w:p w:rsidR="00007F6B" w:rsidRDefault="00007F6B" w:rsidP="00A33722">
      <w:pPr>
        <w:ind w:firstLine="709"/>
        <w:jc w:val="both"/>
        <w:rPr>
          <w:rFonts w:ascii="Times New Roman" w:hAnsi="Times New Roman"/>
          <w:sz w:val="28"/>
          <w:szCs w:val="28"/>
        </w:rPr>
      </w:pPr>
    </w:p>
    <w:p w:rsidR="00007F6B" w:rsidRPr="00582FEE" w:rsidRDefault="00007F6B" w:rsidP="00A33722">
      <w:pPr>
        <w:ind w:firstLine="709"/>
        <w:jc w:val="both"/>
        <w:rPr>
          <w:rFonts w:ascii="Times New Roman" w:hAnsi="Times New Roman"/>
          <w:sz w:val="28"/>
          <w:szCs w:val="28"/>
        </w:rPr>
      </w:pPr>
      <w:r>
        <w:rPr>
          <w:rFonts w:ascii="Times New Roman" w:hAnsi="Times New Roman"/>
          <w:sz w:val="28"/>
          <w:szCs w:val="28"/>
        </w:rPr>
        <w:t>Глава Козловского сельского поселения                                  В.С.Раковский</w:t>
      </w: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007F6B" w:rsidP="00A33722">
      <w:pPr>
        <w:ind w:left="5103"/>
        <w:jc w:val="both"/>
        <w:rPr>
          <w:rFonts w:ascii="Times New Roman" w:hAnsi="Times New Roman"/>
          <w:sz w:val="28"/>
          <w:szCs w:val="28"/>
        </w:rPr>
      </w:pPr>
      <w:r>
        <w:rPr>
          <w:rFonts w:ascii="Times New Roman" w:hAnsi="Times New Roman"/>
          <w:sz w:val="28"/>
          <w:szCs w:val="28"/>
        </w:rPr>
        <w:t>Козловского</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007F6B">
        <w:rPr>
          <w:rFonts w:ascii="Times New Roman" w:hAnsi="Times New Roman"/>
          <w:sz w:val="28"/>
          <w:szCs w:val="28"/>
        </w:rPr>
        <w:t>29</w:t>
      </w:r>
      <w:r w:rsidRPr="00582FEE">
        <w:rPr>
          <w:rFonts w:ascii="Times New Roman" w:hAnsi="Times New Roman"/>
          <w:sz w:val="28"/>
          <w:szCs w:val="28"/>
        </w:rPr>
        <w:t>»</w:t>
      </w:r>
      <w:r w:rsidR="00007F6B">
        <w:rPr>
          <w:rFonts w:ascii="Times New Roman" w:hAnsi="Times New Roman"/>
          <w:sz w:val="28"/>
          <w:szCs w:val="28"/>
        </w:rPr>
        <w:t xml:space="preserve"> 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007F6B">
        <w:rPr>
          <w:rFonts w:ascii="Times New Roman" w:hAnsi="Times New Roman"/>
          <w:sz w:val="28"/>
          <w:szCs w:val="28"/>
        </w:rPr>
        <w:t>84</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007F6B">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BA3818" w:rsidRPr="00582FEE" w:rsidRDefault="00BA3818" w:rsidP="00007F6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007F6B" w:rsidRPr="00007F6B">
        <w:rPr>
          <w:i w:val="0"/>
          <w:sz w:val="28"/>
          <w:szCs w:val="28"/>
        </w:rPr>
        <w:t xml:space="preserve">Козловского </w:t>
      </w:r>
      <w:r w:rsidRPr="00854EF6">
        <w:rPr>
          <w:sz w:val="28"/>
          <w:szCs w:val="28"/>
        </w:rPr>
        <w:t xml:space="preserve"> </w:t>
      </w:r>
      <w:r w:rsidRPr="003C5604">
        <w:rPr>
          <w:i w:val="0"/>
          <w:sz w:val="28"/>
          <w:szCs w:val="28"/>
        </w:rPr>
        <w:t>сельского поселения Бутурлиновского муниципального района</w:t>
      </w:r>
      <w:r w:rsidR="00007F6B">
        <w:rPr>
          <w:i w:val="0"/>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007F6B">
        <w:rPr>
          <w:i w:val="0"/>
          <w:sz w:val="28"/>
          <w:szCs w:val="28"/>
        </w:rPr>
        <w:t>Козловского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007F6B">
        <w:rPr>
          <w:i w:val="0"/>
          <w:sz w:val="28"/>
          <w:szCs w:val="28"/>
        </w:rPr>
        <w:t>Козловского</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007F6B" w:rsidRPr="00007F6B">
        <w:rPr>
          <w:sz w:val="28"/>
          <w:szCs w:val="28"/>
        </w:rPr>
        <w:t>Козловского</w:t>
      </w:r>
      <w:r w:rsidR="00A33722" w:rsidRPr="00007F6B">
        <w:rPr>
          <w:sz w:val="28"/>
          <w:szCs w:val="28"/>
        </w:rPr>
        <w:t xml:space="preserve"> сельского поселения Бутурлиновского</w:t>
      </w:r>
      <w:r w:rsidRPr="00007F6B">
        <w:rPr>
          <w:sz w:val="28"/>
          <w:szCs w:val="28"/>
        </w:rPr>
        <w:t xml:space="preserve"> муниципального района Воронежской области, должностных лиц администрации </w:t>
      </w:r>
      <w:r w:rsidR="00007F6B" w:rsidRPr="00007F6B">
        <w:rPr>
          <w:sz w:val="28"/>
          <w:szCs w:val="28"/>
        </w:rPr>
        <w:t xml:space="preserve">Козловского </w:t>
      </w:r>
      <w:r w:rsidR="00A33722" w:rsidRPr="00A33722">
        <w:rPr>
          <w:sz w:val="28"/>
          <w:szCs w:val="28"/>
        </w:rPr>
        <w:t>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007F6B" w:rsidRPr="004F2753">
        <w:rPr>
          <w:sz w:val="28"/>
          <w:szCs w:val="28"/>
        </w:rPr>
        <w:t>Козловского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3.4. На официальном сайте Администрации</w:t>
      </w:r>
      <w:r w:rsidR="00F34313" w:rsidRPr="00F34313">
        <w:t xml:space="preserve"> </w:t>
      </w:r>
      <w:r w:rsidR="00F34313" w:rsidRPr="00F34313">
        <w:rPr>
          <w:rFonts w:ascii="Times New Roman" w:hAnsi="Times New Roman" w:cs="Times New Roman"/>
          <w:sz w:val="28"/>
          <w:szCs w:val="28"/>
        </w:rPr>
        <w:t>Козловского сельского поселения Бутурлиновского муниципального района Воронежской области</w:t>
      </w:r>
      <w:r w:rsidRPr="00A33722">
        <w:rPr>
          <w:rFonts w:ascii="Times New Roman" w:hAnsi="Times New Roman" w:cs="Times New Roman"/>
          <w:sz w:val="28"/>
          <w:szCs w:val="28"/>
        </w:rPr>
        <w:t xml:space="preserve"> (</w:t>
      </w:r>
      <w:r w:rsidR="00007F6B" w:rsidRPr="003426F9">
        <w:rPr>
          <w:rFonts w:ascii="Times New Roman" w:hAnsi="Times New Roman"/>
          <w:sz w:val="28"/>
          <w:szCs w:val="28"/>
        </w:rPr>
        <w:t>https://kozlovskoe-buturlinovskij-r20.gosweb.gosuslugi.ru/</w:t>
      </w:r>
      <w:r w:rsidRPr="00A337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gosuslugi</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govvrn</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007F6B" w:rsidRPr="006045DB" w:rsidRDefault="00007F6B" w:rsidP="00007F6B">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007F6B" w:rsidRPr="006045DB" w:rsidRDefault="00007F6B" w:rsidP="00007F6B">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007F6B" w:rsidRPr="006045DB" w:rsidRDefault="00007F6B" w:rsidP="00007F6B">
      <w:pPr>
        <w:pStyle w:val="ac"/>
      </w:pPr>
      <w:r w:rsidRPr="006045DB">
        <w:t>понедельник - пятница: с 08.00 до 17.00;</w:t>
      </w:r>
    </w:p>
    <w:p w:rsidR="00007F6B" w:rsidRPr="006045DB" w:rsidRDefault="00007F6B" w:rsidP="00007F6B">
      <w:pPr>
        <w:pStyle w:val="ac"/>
      </w:pPr>
      <w:r w:rsidRPr="006045DB">
        <w:t>перерыв: с 12.00 до 14.00.</w:t>
      </w:r>
    </w:p>
    <w:p w:rsidR="00007F6B" w:rsidRPr="006045DB" w:rsidRDefault="00007F6B" w:rsidP="00007F6B">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007F6B" w:rsidRPr="006045DB" w:rsidRDefault="00007F6B" w:rsidP="00007F6B">
      <w:pPr>
        <w:pStyle w:val="ac"/>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007F6B" w:rsidRPr="006045DB" w:rsidRDefault="00007F6B" w:rsidP="00007F6B">
      <w:pPr>
        <w:pStyle w:val="ac"/>
      </w:pPr>
      <w:r>
        <w:t xml:space="preserve"> </w:t>
      </w:r>
      <w:r w:rsidRPr="006045DB">
        <w:t>Телефоны для справок: 8-47361-44-3-30, факс: 8-47361-44-3-91.</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3.9. При информировании о порядке предоставления Муниципальной услуги по телефону должностное лицо Администрации, приняв вызов по </w:t>
      </w:r>
      <w:r w:rsidRPr="00A33722">
        <w:rPr>
          <w:sz w:val="28"/>
          <w:szCs w:val="28"/>
        </w:rPr>
        <w:lastRenderedPageBreak/>
        <w:t>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A33722">
        <w:rPr>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0" w:name="bookmark0"/>
      <w:r w:rsidRPr="00A33722">
        <w:rPr>
          <w:b w:val="0"/>
          <w:sz w:val="28"/>
          <w:szCs w:val="28"/>
          <w:lang w:val="en-US"/>
        </w:rPr>
        <w:t>II</w:t>
      </w:r>
      <w:r w:rsidRPr="00A33722">
        <w:rPr>
          <w:b w:val="0"/>
          <w:sz w:val="28"/>
          <w:szCs w:val="28"/>
        </w:rPr>
        <w:t>. Стандарт предоставления Муниципальной услуги</w:t>
      </w:r>
      <w:bookmarkEnd w:id="0"/>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007F6B">
        <w:rPr>
          <w:sz w:val="28"/>
          <w:szCs w:val="28"/>
        </w:rPr>
        <w:t xml:space="preserve">Козловского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07F6B" w:rsidRPr="00007F6B">
        <w:rPr>
          <w:rFonts w:ascii="Times New Roman" w:hAnsi="Times New Roman" w:cs="Times New Roman"/>
          <w:sz w:val="28"/>
          <w:szCs w:val="28"/>
        </w:rPr>
        <w:t>Козловского</w:t>
      </w:r>
      <w:r w:rsidR="00007F6B"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сельского поселения Бутурлиновского</w:t>
      </w:r>
      <w:r w:rsidR="00007F6B">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194574" w:rsidRPr="000554F2">
        <w:rPr>
          <w:rFonts w:ascii="Times New Roman" w:hAnsi="Times New Roman"/>
          <w:sz w:val="28"/>
          <w:szCs w:val="28"/>
        </w:rPr>
        <w:t>22.07.2015 №</w:t>
      </w:r>
      <w:r w:rsidR="00194574">
        <w:rPr>
          <w:rFonts w:ascii="Times New Roman" w:hAnsi="Times New Roman"/>
          <w:sz w:val="28"/>
          <w:szCs w:val="28"/>
        </w:rPr>
        <w:t xml:space="preserve"> </w:t>
      </w:r>
      <w:r w:rsidR="00194574" w:rsidRPr="000554F2">
        <w:rPr>
          <w:rFonts w:ascii="Times New Roman" w:hAnsi="Times New Roman"/>
          <w:sz w:val="28"/>
          <w:szCs w:val="28"/>
        </w:rPr>
        <w:t xml:space="preserve">236 </w:t>
      </w:r>
      <w:r w:rsidRPr="00A33722">
        <w:rPr>
          <w:rFonts w:ascii="Times New Roman" w:hAnsi="Times New Roman" w:cs="Times New Roman"/>
          <w:sz w:val="28"/>
          <w:szCs w:val="28"/>
        </w:rPr>
        <w:t xml:space="preserve">«Об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007F6B" w:rsidRPr="00007F6B">
        <w:rPr>
          <w:rFonts w:ascii="Times New Roman" w:hAnsi="Times New Roman" w:cs="Times New Roman"/>
          <w:sz w:val="28"/>
          <w:szCs w:val="28"/>
        </w:rPr>
        <w:t>Козловского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194574">
        <w:rPr>
          <w:rFonts w:ascii="Times New Roman" w:hAnsi="Times New Roman" w:cs="Times New Roman"/>
          <w:sz w:val="28"/>
          <w:szCs w:val="28"/>
        </w:rPr>
        <w:t>Козловского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194574">
        <w:rPr>
          <w:rFonts w:ascii="Times New Roman" w:hAnsi="Times New Roman" w:cs="Times New Roman"/>
          <w:sz w:val="28"/>
          <w:szCs w:val="28"/>
        </w:rPr>
        <w:t>Козловского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194574" w:rsidRPr="009675F5" w:rsidRDefault="00E90DF1" w:rsidP="00194574">
      <w:pPr>
        <w:pStyle w:val="25"/>
        <w:shd w:val="clear" w:color="auto" w:fill="auto"/>
        <w:tabs>
          <w:tab w:val="left" w:pos="993"/>
        </w:tabs>
        <w:spacing w:before="0" w:after="0" w:line="240" w:lineRule="auto"/>
        <w:ind w:firstLine="567"/>
        <w:rPr>
          <w:sz w:val="28"/>
          <w:szCs w:val="28"/>
        </w:rPr>
      </w:pPr>
      <w:r w:rsidRPr="00A33722">
        <w:rPr>
          <w:sz w:val="28"/>
          <w:szCs w:val="28"/>
        </w:rPr>
        <w:t xml:space="preserve">8.2. </w:t>
      </w:r>
      <w:r w:rsidR="00194574"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lastRenderedPageBreak/>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94574">
        <w:rPr>
          <w:rFonts w:ascii="Times New Roman" w:eastAsia="Calibri" w:hAnsi="Times New Roman" w:cs="Times New Roman"/>
          <w:sz w:val="28"/>
          <w:szCs w:val="28"/>
        </w:rPr>
        <w:t xml:space="preserve"> </w:t>
      </w:r>
      <w:r w:rsidRPr="00A3372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тифлосурдоисреводчика;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w:t>
      </w:r>
      <w:r w:rsidRPr="00A33722">
        <w:rPr>
          <w:sz w:val="28"/>
          <w:szCs w:val="28"/>
        </w:rPr>
        <w:lastRenderedPageBreak/>
        <w:t>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lastRenderedPageBreak/>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Pr="00A33722">
        <w:rPr>
          <w:sz w:val="28"/>
          <w:szCs w:val="28"/>
        </w:rPr>
        <w:t>или</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lastRenderedPageBreak/>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lastRenderedPageBreak/>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1" w:name="bookmark1"/>
      <w:r w:rsidRPr="00A33722">
        <w:rPr>
          <w:b w:val="0"/>
          <w:sz w:val="28"/>
          <w:szCs w:val="28"/>
          <w:lang w:val="en-US"/>
        </w:rPr>
        <w:t>III</w:t>
      </w:r>
      <w:r w:rsidRPr="00A33722">
        <w:rPr>
          <w:b w:val="0"/>
          <w:sz w:val="28"/>
          <w:szCs w:val="28"/>
        </w:rPr>
        <w:t xml:space="preserve">. </w:t>
      </w:r>
      <w:bookmarkEnd w:id="1"/>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194574">
        <w:rPr>
          <w:rFonts w:ascii="Times New Roman" w:hAnsi="Times New Roman"/>
          <w:sz w:val="28"/>
          <w:szCs w:val="28"/>
        </w:rPr>
        <w:t xml:space="preserve"> </w:t>
      </w:r>
      <w:r w:rsidRPr="00A33722">
        <w:rPr>
          <w:rFonts w:ascii="Times New Roman" w:hAnsi="Times New Roman"/>
          <w:sz w:val="28"/>
          <w:szCs w:val="28"/>
        </w:rPr>
        <w:t xml:space="preserve">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2"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w:t>
      </w:r>
      <w:r w:rsidRPr="00A33722">
        <w:rPr>
          <w:rFonts w:ascii="Times New Roman" w:eastAsia="Calibri" w:hAnsi="Times New Roman" w:cs="Times New Roman"/>
          <w:sz w:val="28"/>
          <w:szCs w:val="28"/>
          <w:lang w:eastAsia="en-US"/>
        </w:rPr>
        <w:lastRenderedPageBreak/>
        <w:t>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2"/>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lastRenderedPageBreak/>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4574">
        <w:rPr>
          <w:sz w:val="28"/>
          <w:szCs w:val="28"/>
        </w:rPr>
        <w:t xml:space="preserve">Козловского </w:t>
      </w:r>
      <w:r w:rsidR="00DE1F2A" w:rsidRPr="00E9754E">
        <w:rPr>
          <w:sz w:val="28"/>
          <w:szCs w:val="28"/>
        </w:rPr>
        <w:t>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4574">
        <w:rPr>
          <w:sz w:val="28"/>
          <w:szCs w:val="28"/>
        </w:rPr>
        <w:t>Козловского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00194574">
        <w:rPr>
          <w:rFonts w:ascii="Times New Roman" w:hAnsi="Times New Roman" w:cs="Times New Roman"/>
          <w:bCs/>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00194574">
        <w:rPr>
          <w:rFonts w:ascii="Times New Roman" w:hAnsi="Times New Roman" w:cs="Times New Roman"/>
          <w:bCs/>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194574">
        <w:rPr>
          <w:rFonts w:ascii="Times New Roman" w:hAnsi="Times New Roman" w:cs="Times New Roman"/>
          <w:bCs/>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33722">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33722">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3" w:name="p39"/>
      <w:bookmarkEnd w:id="3"/>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4" w:name="p43"/>
      <w:bookmarkEnd w:id="4"/>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A33722">
        <w:rPr>
          <w:rFonts w:ascii="Times New Roman" w:hAnsi="Times New Roman" w:cs="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5" w:name="_Toc134019825"/>
      <w:r w:rsidRPr="00A33722">
        <w:t>Перечень нормативных правовых актов, регулирующих порядок</w:t>
      </w:r>
      <w:bookmarkEnd w:id="5"/>
    </w:p>
    <w:p w:rsidR="00E90DF1" w:rsidRPr="00A33722" w:rsidRDefault="00E90DF1" w:rsidP="00E9754E">
      <w:pPr>
        <w:pStyle w:val="ac"/>
        <w:jc w:val="center"/>
      </w:pPr>
      <w:bookmarkStart w:id="6" w:name="_Toc134019826"/>
      <w:r w:rsidRPr="00A33722">
        <w:t>досудебного (внесудебного) обжалования действий</w:t>
      </w:r>
      <w:bookmarkEnd w:id="6"/>
    </w:p>
    <w:p w:rsidR="00E90DF1" w:rsidRPr="00A33722" w:rsidRDefault="00E90DF1" w:rsidP="00E9754E">
      <w:pPr>
        <w:pStyle w:val="ac"/>
        <w:jc w:val="center"/>
      </w:pPr>
      <w:bookmarkStart w:id="7" w:name="_Toc134019827"/>
      <w:r w:rsidRPr="00A33722">
        <w:t>(бездействия) и (или) решений, принятых (осуществленных)</w:t>
      </w:r>
      <w:bookmarkEnd w:id="7"/>
    </w:p>
    <w:p w:rsidR="00E90DF1" w:rsidRPr="00A33722" w:rsidRDefault="00E90DF1" w:rsidP="00E9754E">
      <w:pPr>
        <w:pStyle w:val="ac"/>
        <w:jc w:val="center"/>
      </w:pPr>
      <w:bookmarkStart w:id="8" w:name="_Toc134019828"/>
      <w:r w:rsidRPr="00A33722">
        <w:t>в ходе предоставления муниципальной услуги</w:t>
      </w:r>
      <w:bookmarkEnd w:id="8"/>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lastRenderedPageBreak/>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предоставлении </w:t>
            </w:r>
            <w:r w:rsidRPr="00A33722">
              <w:rPr>
                <w:lang w:eastAsia="ru-RU" w:bidi="ru-RU"/>
              </w:rPr>
              <w:lastRenderedPageBreak/>
              <w:t>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4F2753">
      <w:headerReference w:type="even" r:id="rId9"/>
      <w:headerReference w:type="default" r:id="rId10"/>
      <w:pgSz w:w="11900" w:h="16840"/>
      <w:pgMar w:top="1095" w:right="530" w:bottom="568"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EB" w:rsidRDefault="00FC4FEB">
      <w:r>
        <w:separator/>
      </w:r>
    </w:p>
  </w:endnote>
  <w:endnote w:type="continuationSeparator" w:id="1">
    <w:p w:rsidR="00FC4FEB" w:rsidRDefault="00FC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EB" w:rsidRDefault="00FC4FEB">
      <w:r>
        <w:separator/>
      </w:r>
    </w:p>
  </w:footnote>
  <w:footnote w:type="continuationSeparator" w:id="1">
    <w:p w:rsidR="00FC4FEB" w:rsidRDefault="00FC4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6B" w:rsidRDefault="00007F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6B" w:rsidRDefault="00007F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07F6B"/>
    <w:rsid w:val="00013CD3"/>
    <w:rsid w:val="00032324"/>
    <w:rsid w:val="00064630"/>
    <w:rsid w:val="00076F4C"/>
    <w:rsid w:val="000818CA"/>
    <w:rsid w:val="00095E41"/>
    <w:rsid w:val="000B33C8"/>
    <w:rsid w:val="001130BE"/>
    <w:rsid w:val="00116244"/>
    <w:rsid w:val="001479D1"/>
    <w:rsid w:val="0015599A"/>
    <w:rsid w:val="001663CD"/>
    <w:rsid w:val="00174FCC"/>
    <w:rsid w:val="00194574"/>
    <w:rsid w:val="00195D71"/>
    <w:rsid w:val="001B199D"/>
    <w:rsid w:val="002208E8"/>
    <w:rsid w:val="00222E05"/>
    <w:rsid w:val="002338A8"/>
    <w:rsid w:val="002339BA"/>
    <w:rsid w:val="00255154"/>
    <w:rsid w:val="00260BF8"/>
    <w:rsid w:val="002A3AA5"/>
    <w:rsid w:val="002B1B14"/>
    <w:rsid w:val="003316CB"/>
    <w:rsid w:val="003464AD"/>
    <w:rsid w:val="0034669C"/>
    <w:rsid w:val="0038330F"/>
    <w:rsid w:val="00386C9D"/>
    <w:rsid w:val="00450442"/>
    <w:rsid w:val="004773E4"/>
    <w:rsid w:val="00495257"/>
    <w:rsid w:val="004A0254"/>
    <w:rsid w:val="004A6F42"/>
    <w:rsid w:val="004C78BB"/>
    <w:rsid w:val="004F2753"/>
    <w:rsid w:val="004F4215"/>
    <w:rsid w:val="00516F10"/>
    <w:rsid w:val="00591BF2"/>
    <w:rsid w:val="005F7140"/>
    <w:rsid w:val="00657504"/>
    <w:rsid w:val="00694136"/>
    <w:rsid w:val="006F74E2"/>
    <w:rsid w:val="0071099C"/>
    <w:rsid w:val="007263DB"/>
    <w:rsid w:val="007319DC"/>
    <w:rsid w:val="00745366"/>
    <w:rsid w:val="00753AB4"/>
    <w:rsid w:val="00793FFF"/>
    <w:rsid w:val="007D679F"/>
    <w:rsid w:val="00842BA3"/>
    <w:rsid w:val="00853924"/>
    <w:rsid w:val="00873FC1"/>
    <w:rsid w:val="008906B4"/>
    <w:rsid w:val="008C6C90"/>
    <w:rsid w:val="008E02E8"/>
    <w:rsid w:val="008E44E0"/>
    <w:rsid w:val="0093593A"/>
    <w:rsid w:val="00941625"/>
    <w:rsid w:val="00992FF1"/>
    <w:rsid w:val="009A1C8D"/>
    <w:rsid w:val="009F098E"/>
    <w:rsid w:val="00A148BD"/>
    <w:rsid w:val="00A33722"/>
    <w:rsid w:val="00A371EE"/>
    <w:rsid w:val="00A62786"/>
    <w:rsid w:val="00A84286"/>
    <w:rsid w:val="00A9706E"/>
    <w:rsid w:val="00AB2F41"/>
    <w:rsid w:val="00B06FF3"/>
    <w:rsid w:val="00B126EA"/>
    <w:rsid w:val="00B1570E"/>
    <w:rsid w:val="00B21129"/>
    <w:rsid w:val="00B30852"/>
    <w:rsid w:val="00B47189"/>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40ACD"/>
    <w:rsid w:val="00E46337"/>
    <w:rsid w:val="00E73A2F"/>
    <w:rsid w:val="00E74BF1"/>
    <w:rsid w:val="00E90DF1"/>
    <w:rsid w:val="00E941A0"/>
    <w:rsid w:val="00E9754E"/>
    <w:rsid w:val="00E9787B"/>
    <w:rsid w:val="00EC1C87"/>
    <w:rsid w:val="00EC4A61"/>
    <w:rsid w:val="00ED6DCE"/>
    <w:rsid w:val="00EF2C36"/>
    <w:rsid w:val="00EF363F"/>
    <w:rsid w:val="00EF7CC9"/>
    <w:rsid w:val="00F029FE"/>
    <w:rsid w:val="00F11BC0"/>
    <w:rsid w:val="00F34313"/>
    <w:rsid w:val="00F457FD"/>
    <w:rsid w:val="00FA7401"/>
    <w:rsid w:val="00FB2B14"/>
    <w:rsid w:val="00FC4FEB"/>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42</Pages>
  <Words>13820</Words>
  <Characters>78778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2023-12-01T10:53:00Z</dcterms:created>
  <dcterms:modified xsi:type="dcterms:W3CDTF">2023-12-11T12:23:00Z</dcterms:modified>
</cp:coreProperties>
</file>